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20"/>
      </w:tblGrid>
      <w:tr w:rsidR="00DA45D5" w:rsidTr="004B2048">
        <w:trPr>
          <w:trHeight w:val="3119"/>
          <w:tblCellSpacing w:w="0" w:type="dxa"/>
        </w:trPr>
        <w:tc>
          <w:tcPr>
            <w:tcW w:w="4965" w:type="dxa"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0" w:type="dxa"/>
            <w:hideMark/>
          </w:tcPr>
          <w:p w:rsidR="00DA45D5" w:rsidRDefault="00DA45D5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4B2048" w:rsidRDefault="00DA45D5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муниципального бюджетного общеобразовательного учреждения средней общеобразовательной школы с.Б.-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A45D5" w:rsidRDefault="00DA45D5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Липецкой области</w:t>
            </w:r>
          </w:p>
          <w:p w:rsidR="004B2048" w:rsidRDefault="004B2048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45D5" w:rsidRDefault="00DA45D5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 w:rsidR="00EC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А.Н.Костерев</w:t>
            </w:r>
            <w:proofErr w:type="spellEnd"/>
          </w:p>
          <w:p w:rsidR="004B2048" w:rsidRDefault="004B2048" w:rsidP="004B2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45D5" w:rsidRDefault="00DA45D5" w:rsidP="00F07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07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11» </w:t>
            </w:r>
            <w:r w:rsidR="00EC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C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доступности для инвалидов объекта и предоставляемых на нем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 в сфере образования (далее - услуги)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КРАТКАЯ ХАРАКТЕРИСТИКА ОБЪЕКТА.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предоставляемых услуг: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Реализация основных общеобразовательных программ начального общего образования.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Реализация основных общеобразовательных программ основного общего образования.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 Реализация основных общеобразовательных программ среднего общего образования.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4. Реализация дополнительных общеразвивающих программ.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   </w:t>
      </w:r>
      <w:r w:rsidR="00FD13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организации, которая предоставляет услугу населению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средняя общеобразовательная школа с.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Большой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Самовец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муниципального района Липецкой области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места нахождения организации: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399082, Липецкая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Грязинский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с.Большой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Самовец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ул. Советская, д. 135 а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объекте: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здание школы: общая площадь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3472,9 кв. м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участок: площадь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22143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кв.м</w:t>
      </w:r>
      <w:proofErr w:type="spellEnd"/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Основание   для   </w:t>
      </w:r>
      <w:r w:rsidR="00FD13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пользования объектом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D13B7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оперативное управление, </w:t>
      </w:r>
      <w:proofErr w:type="spellStart"/>
      <w:proofErr w:type="gramStart"/>
      <w:r w:rsidR="00FD13B7">
        <w:rPr>
          <w:rFonts w:ascii="Times New Roman" w:eastAsia="Times New Roman" w:hAnsi="Times New Roman"/>
          <w:sz w:val="24"/>
          <w:szCs w:val="24"/>
          <w:lang w:eastAsia="ru-RU"/>
        </w:rPr>
        <w:t>аренда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,собственность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оперативное  управление.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(государственная, муниципальная, частная):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муниципальная 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Административно-территориальная       подведомственность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федеральная,региональная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муниципальная):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муниципальная 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Наименование вышестоящей организации: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муниципального района Липецкой области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вышестоящей организации: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399050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Липецкая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г.Грязи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ул. Красная площадь, 38</w:t>
      </w:r>
    </w:p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КРАТКАЯ ХАРАКТЕРИСТИКА ДЕЙСТВУЮЩЕГО ПОРЯДКА ПРЕДОСТАВЛЕНИЯ НА ОБЪЕКТЕ УСЛУГ НАСЕЛЕНИЮ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Сфера деятельности: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образование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Плановая   мощность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330 чел.</w:t>
      </w:r>
    </w:p>
    <w:p w:rsidR="00DA45D5" w:rsidRDefault="00FD13B7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 оказания услуг</w:t>
      </w:r>
      <w:r w:rsidR="00DA4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 объекте</w:t>
      </w:r>
      <w:r w:rsidR="00DA45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 пребыванием</w:t>
      </w:r>
      <w:r w:rsidR="00DA45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8.00 час</w:t>
      </w:r>
      <w:proofErr w:type="gramStart"/>
      <w:r w:rsidR="00DA45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до</w:t>
      </w:r>
      <w:proofErr w:type="gramEnd"/>
      <w:r w:rsidR="00DA45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20.00 час., ,</w:t>
      </w:r>
      <w:r w:rsidR="00DA4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выходные: воскресенье, праздничные дни.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Категории    обслуживаемого   населения   по   возрасту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дети школьного возраста с 6 лет 6 месяцев до 18 лет.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Категории     обслуживаемых     инвалидов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(инвалиды    с    нарушениями</w:t>
      </w:r>
    </w:p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опорно-двигательного аппарата; нарушениями зрения, нарушениями слуха):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</w:p>
    <w:p w:rsidR="00FD13B7" w:rsidRDefault="00DA45D5" w:rsidP="00FD13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ОЦЕНКА СОСТОЯНИЯ И ИМЕЮЩИХСЯ НЕДОСТАТКОВ В ОБЕСПЕЧЕНИИ</w:t>
      </w:r>
    </w:p>
    <w:p w:rsidR="00DA45D5" w:rsidRDefault="00DA45D5" w:rsidP="00FD13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УСЛОВИЙ ДОСТУПНОСТИ ДЛЯ ИНВАЛИДОВ ОБЪЕКТА</w:t>
      </w:r>
    </w:p>
    <w:tbl>
      <w:tblPr>
        <w:tblW w:w="9923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850"/>
        <w:gridCol w:w="2551"/>
      </w:tblGrid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наличии/отсутствует)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22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69"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551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45D5" w:rsidRDefault="00DA45D5" w:rsidP="00DA4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ОЦЕНКА СОСТОЯНИЯ И ИМЕЮЩИХСЯ НЕДОСТАТКОВ В ОБЕСПЕЧЕНИИУСЛОВИЙ ДОСТУПНОСТИ ДЛЯ ИНВАЛИДОВ ПРЕДОСТАВЛЯЕМЫХ УСЛУГ</w:t>
      </w:r>
    </w:p>
    <w:tbl>
      <w:tblPr>
        <w:tblW w:w="9980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840"/>
        <w:gridCol w:w="3600"/>
      </w:tblGrid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600" w:type="dxa"/>
            <w:hideMark/>
          </w:tcPr>
          <w:p w:rsidR="00DA45D5" w:rsidRDefault="00EC6189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 наличии, приказ  МБОУ СОШ с.Б.-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23.06.2016 г. № 182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назначении ответственных за организацию работы по обеспечению доступности объектов и услуг для инвалидов»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средство 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A45D5" w:rsidTr="00EC6189">
        <w:trPr>
          <w:tblCellSpacing w:w="0" w:type="dxa"/>
        </w:trPr>
        <w:tc>
          <w:tcPr>
            <w:tcW w:w="540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55" w:right="2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048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45D5" w:rsidRPr="00FD13B7" w:rsidRDefault="00DA45D5" w:rsidP="00FD13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3B7">
        <w:rPr>
          <w:rFonts w:ascii="Times New Roman" w:eastAsia="Times New Roman" w:hAnsi="Times New Roman"/>
          <w:b/>
          <w:sz w:val="24"/>
          <w:szCs w:val="24"/>
          <w:lang w:eastAsia="ru-RU"/>
        </w:rPr>
        <w:t>V. ПРЕДЛАГАЕМЫЕ УПРАВЛЕНЧЕСКИЕ РЕШЕНИЯ ПО СРОКАМ</w:t>
      </w:r>
    </w:p>
    <w:p w:rsidR="00DA45D5" w:rsidRPr="00FD13B7" w:rsidRDefault="00DA45D5" w:rsidP="00FD13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13B7">
        <w:rPr>
          <w:rFonts w:ascii="Times New Roman" w:eastAsia="Times New Roman" w:hAnsi="Times New Roman"/>
          <w:b/>
          <w:sz w:val="24"/>
          <w:szCs w:val="24"/>
          <w:lang w:eastAsia="ru-RU"/>
        </w:rPr>
        <w:t>И ОБЪЕМАМ РАБОТ, НЕОБХОДИМЫМ ДЛЯ ПРИВЕДЕНИЯ ОБЪЕКТА И ПОРЯДКА ПРЕДОСТАВЛЕНИЯ НА НЕМ УСЛУГ В СООТВЕТСТ</w:t>
      </w:r>
      <w:r w:rsidRPr="00FD13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ВИЕ</w:t>
      </w:r>
      <w:r w:rsidRPr="00FD13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ТРЕБОВАНИЯМИ ЗАКОНОДАТЕЛЬСТВА РОССИЙСКОЙ ФЕДЕРАЦИИ ОБ </w:t>
      </w:r>
      <w:proofErr w:type="gramStart"/>
      <w:r w:rsidRPr="00FD13B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ОБЕСПЕЧЕНИИ  УСЛОВИЙ</w:t>
      </w:r>
      <w:proofErr w:type="gramEnd"/>
      <w:r w:rsidRPr="00FD13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ИХ ДОСТУПНОСТИ ДЛЯ ИНВАЛИДОВ</w:t>
      </w:r>
    </w:p>
    <w:tbl>
      <w:tblPr>
        <w:tblW w:w="10122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997"/>
        <w:gridCol w:w="3600"/>
      </w:tblGrid>
      <w:tr w:rsidR="00DA45D5" w:rsidTr="00EC6189">
        <w:trPr>
          <w:tblCellSpacing w:w="0" w:type="dxa"/>
        </w:trPr>
        <w:tc>
          <w:tcPr>
            <w:tcW w:w="525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97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600" w:type="dxa"/>
            <w:hideMark/>
          </w:tcPr>
          <w:p w:rsidR="00DA45D5" w:rsidRDefault="00DA45D5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DA45D5" w:rsidRDefault="00DA45D5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5D5" w:rsidTr="00EC6189">
        <w:trPr>
          <w:tblCellSpacing w:w="0" w:type="dxa"/>
        </w:trPr>
        <w:tc>
          <w:tcPr>
            <w:tcW w:w="525" w:type="dxa"/>
            <w:hideMark/>
          </w:tcPr>
          <w:p w:rsidR="00DA45D5" w:rsidRDefault="00FD13B7" w:rsidP="00FD13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7" w:type="dxa"/>
            <w:hideMark/>
          </w:tcPr>
          <w:p w:rsidR="00DA45D5" w:rsidRDefault="00DA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стоянки автотранспортных средств для инвалидов</w:t>
            </w:r>
          </w:p>
        </w:tc>
        <w:tc>
          <w:tcPr>
            <w:tcW w:w="3600" w:type="dxa"/>
            <w:hideMark/>
          </w:tcPr>
          <w:p w:rsidR="00DA45D5" w:rsidRDefault="009F2EF9" w:rsidP="004B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  <w:r w:rsidR="00DA4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hideMark/>
          </w:tcPr>
          <w:p w:rsidR="00EC6189" w:rsidRDefault="00EC6189" w:rsidP="00EC6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7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поручней</w:t>
            </w:r>
          </w:p>
        </w:tc>
        <w:tc>
          <w:tcPr>
            <w:tcW w:w="3600" w:type="dxa"/>
            <w:hideMark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hideMark/>
          </w:tcPr>
          <w:p w:rsidR="00EC6189" w:rsidRDefault="00EC6189" w:rsidP="00EC6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7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подъемных платформ (аппарелей)</w:t>
            </w:r>
          </w:p>
        </w:tc>
        <w:tc>
          <w:tcPr>
            <w:tcW w:w="3600" w:type="dxa"/>
            <w:hideMark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hideMark/>
          </w:tcPr>
          <w:p w:rsidR="00EC6189" w:rsidRDefault="00EC6189" w:rsidP="00EC6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7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раздвижных дверей</w:t>
            </w:r>
          </w:p>
        </w:tc>
        <w:tc>
          <w:tcPr>
            <w:tcW w:w="3600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hideMark/>
          </w:tcPr>
          <w:p w:rsidR="00EC6189" w:rsidRDefault="00EC6189" w:rsidP="00EC6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7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доступных входных групп</w:t>
            </w:r>
          </w:p>
        </w:tc>
        <w:tc>
          <w:tcPr>
            <w:tcW w:w="3600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hideMark/>
          </w:tcPr>
          <w:p w:rsidR="00EC6189" w:rsidRDefault="00EC6189" w:rsidP="00EC6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7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доступных санитарно-гигиенических помещений</w:t>
            </w:r>
          </w:p>
        </w:tc>
        <w:tc>
          <w:tcPr>
            <w:tcW w:w="3600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hideMark/>
          </w:tcPr>
          <w:p w:rsidR="00EC6189" w:rsidRDefault="00EC6189" w:rsidP="00EC6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7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дверных проемов в стенах, лестничных маршей, площадок</w:t>
            </w:r>
          </w:p>
        </w:tc>
        <w:tc>
          <w:tcPr>
            <w:tcW w:w="3600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hideMark/>
          </w:tcPr>
          <w:p w:rsidR="00EC6189" w:rsidRDefault="00EC6189" w:rsidP="00EC6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7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00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hideMark/>
          </w:tcPr>
          <w:p w:rsidR="00EC6189" w:rsidRDefault="00EC6189" w:rsidP="00EC6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7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600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hideMark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997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3600" w:type="dxa"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C6189" w:rsidTr="00EC6189">
        <w:trPr>
          <w:tblCellSpacing w:w="0" w:type="dxa"/>
        </w:trPr>
        <w:tc>
          <w:tcPr>
            <w:tcW w:w="10122" w:type="dxa"/>
            <w:gridSpan w:val="3"/>
            <w:tcBorders>
              <w:left w:val="nil"/>
              <w:right w:val="nil"/>
            </w:tcBorders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C6189" w:rsidTr="00EC6189">
        <w:trPr>
          <w:tblCellSpacing w:w="0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9" w:rsidRDefault="00EC6189" w:rsidP="00EC6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9" w:rsidRDefault="00EC6189" w:rsidP="00EC6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DA45D5" w:rsidRDefault="00DA45D5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комиссии:</w:t>
      </w:r>
    </w:p>
    <w:p w:rsidR="00521B2F" w:rsidRP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proofErr w:type="spellStart"/>
      <w:r w:rsidR="00EC6189">
        <w:rPr>
          <w:rFonts w:ascii="Times New Roman" w:eastAsia="Times New Roman" w:hAnsi="Times New Roman"/>
          <w:bCs/>
          <w:sz w:val="24"/>
          <w:szCs w:val="24"/>
          <w:lang w:eastAsia="ru-RU"/>
        </w:rPr>
        <w:t>Костерев</w:t>
      </w:r>
      <w:proofErr w:type="spellEnd"/>
      <w:r w:rsidR="00EC61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Андрей Николаевич</w:t>
      </w:r>
    </w:p>
    <w:p w:rsidR="00521B2F" w:rsidRP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="00EC6189">
        <w:rPr>
          <w:rFonts w:ascii="Times New Roman" w:eastAsia="Times New Roman" w:hAnsi="Times New Roman"/>
          <w:bCs/>
          <w:sz w:val="24"/>
          <w:szCs w:val="24"/>
          <w:lang w:eastAsia="ru-RU"/>
        </w:rPr>
        <w:t>Белоусова Елена Владимировна</w:t>
      </w:r>
    </w:p>
    <w:p w:rsid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="00521B2F" w:rsidRP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>Терехова Валентина Николаевна</w:t>
      </w:r>
    </w:p>
    <w:p w:rsid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proofErr w:type="spellStart"/>
      <w:r w:rsid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>Дятчина</w:t>
      </w:r>
      <w:proofErr w:type="spellEnd"/>
      <w:r w:rsid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Валентина Евгеньевна</w:t>
      </w:r>
    </w:p>
    <w:p w:rsid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>Пронина Ольга Николаевна</w:t>
      </w:r>
    </w:p>
    <w:p w:rsid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="00521B2F">
        <w:rPr>
          <w:rFonts w:ascii="Times New Roman" w:eastAsia="Times New Roman" w:hAnsi="Times New Roman"/>
          <w:bCs/>
          <w:sz w:val="24"/>
          <w:szCs w:val="24"/>
          <w:lang w:eastAsia="ru-RU"/>
        </w:rPr>
        <w:t>Медведева Оксана Александровна</w:t>
      </w:r>
    </w:p>
    <w:p w:rsidR="00521B2F" w:rsidRPr="00521B2F" w:rsidRDefault="004B2048" w:rsidP="00DA4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="00FD13B7">
        <w:rPr>
          <w:rFonts w:ascii="Times New Roman" w:eastAsia="Times New Roman" w:hAnsi="Times New Roman"/>
          <w:bCs/>
          <w:sz w:val="24"/>
          <w:szCs w:val="24"/>
          <w:lang w:eastAsia="ru-RU"/>
        </w:rPr>
        <w:t>Фисенко Виктор Павлович</w:t>
      </w:r>
    </w:p>
    <w:sectPr w:rsidR="00521B2F" w:rsidRPr="00521B2F" w:rsidSect="00EC61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D5"/>
    <w:rsid w:val="00043B32"/>
    <w:rsid w:val="000D3665"/>
    <w:rsid w:val="0044036A"/>
    <w:rsid w:val="004B2048"/>
    <w:rsid w:val="00521B2F"/>
    <w:rsid w:val="005F2369"/>
    <w:rsid w:val="006759DA"/>
    <w:rsid w:val="00696E10"/>
    <w:rsid w:val="00712835"/>
    <w:rsid w:val="0078623A"/>
    <w:rsid w:val="009F2EF9"/>
    <w:rsid w:val="00DA45D5"/>
    <w:rsid w:val="00EC6189"/>
    <w:rsid w:val="00F07217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E139-4421-4386-AE8F-7221A74A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Учетная запись Майкрософт</cp:lastModifiedBy>
  <cp:revision>2</cp:revision>
  <cp:lastPrinted>2020-06-01T08:15:00Z</cp:lastPrinted>
  <dcterms:created xsi:type="dcterms:W3CDTF">2023-01-20T10:05:00Z</dcterms:created>
  <dcterms:modified xsi:type="dcterms:W3CDTF">2023-01-20T10:05:00Z</dcterms:modified>
</cp:coreProperties>
</file>